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7F3E" w14:textId="77777777" w:rsidR="00CE7B68" w:rsidRPr="004315A0" w:rsidRDefault="00E05D25" w:rsidP="00CE7B68">
      <w:pPr>
        <w:pStyle w:val="BodyText"/>
        <w:rPr>
          <w:rFonts w:asciiTheme="majorHAnsi" w:hAnsiTheme="majorHAnsi" w:cstheme="majorHAnsi"/>
        </w:rPr>
      </w:pPr>
      <w:r w:rsidRPr="004315A0">
        <w:rPr>
          <w:rFonts w:asciiTheme="majorHAnsi" w:hAnsiTheme="majorHAnsi" w:cstheme="majorHAnsi"/>
          <w:noProof/>
        </w:rPr>
        <w:drawing>
          <wp:anchor distT="0" distB="0" distL="114300" distR="114300" simplePos="0" relativeHeight="251660288" behindDoc="1" locked="0" layoutInCell="1" allowOverlap="1" wp14:anchorId="2F78D763" wp14:editId="49EBCAE1">
            <wp:simplePos x="428978" y="903111"/>
            <wp:positionH relativeFrom="page">
              <wp:align>left</wp:align>
            </wp:positionH>
            <wp:positionV relativeFrom="page">
              <wp:align>top</wp:align>
            </wp:positionV>
            <wp:extent cx="7558405" cy="10692130"/>
            <wp:effectExtent l="0" t="0" r="4445" b="0"/>
            <wp:wrapNone/>
            <wp:docPr id="8" name="Picture 8" descr="N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22"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D51DB" w14:textId="77777777" w:rsidR="00CE7B68" w:rsidRPr="004315A0" w:rsidRDefault="00CE7B68" w:rsidP="00CE7B68">
      <w:pPr>
        <w:pStyle w:val="BodyText"/>
        <w:rPr>
          <w:rFonts w:asciiTheme="majorHAnsi" w:hAnsiTheme="majorHAnsi" w:cstheme="majorHAnsi"/>
        </w:rPr>
      </w:pPr>
    </w:p>
    <w:p w14:paraId="3619FA5A" w14:textId="77777777" w:rsidR="00CE7B68" w:rsidRPr="004315A0" w:rsidRDefault="00CE7B68" w:rsidP="00CE7B68">
      <w:pPr>
        <w:pStyle w:val="BodyText"/>
        <w:rPr>
          <w:rFonts w:asciiTheme="majorHAnsi" w:hAnsiTheme="majorHAnsi" w:cstheme="majorHAnsi"/>
        </w:rPr>
      </w:pPr>
    </w:p>
    <w:p w14:paraId="1DA62697" w14:textId="77777777" w:rsidR="00CE7B68" w:rsidRPr="004315A0" w:rsidRDefault="00CE7B68" w:rsidP="00CE7B68">
      <w:pPr>
        <w:pStyle w:val="BodyText"/>
        <w:rPr>
          <w:rFonts w:asciiTheme="majorHAnsi" w:hAnsiTheme="majorHAnsi" w:cstheme="majorHAnsi"/>
        </w:rPr>
      </w:pPr>
    </w:p>
    <w:p w14:paraId="0A2324CF" w14:textId="77777777" w:rsidR="00CE7B68" w:rsidRPr="004315A0" w:rsidRDefault="00CE7B68" w:rsidP="00CE7B68">
      <w:pPr>
        <w:pStyle w:val="BodyText"/>
        <w:rPr>
          <w:rFonts w:asciiTheme="majorHAnsi" w:hAnsiTheme="majorHAnsi" w:cstheme="majorHAnsi"/>
        </w:rPr>
      </w:pPr>
    </w:p>
    <w:p w14:paraId="0147C44A" w14:textId="77777777" w:rsidR="00CE7B68" w:rsidRPr="004315A0" w:rsidRDefault="00CE7B68" w:rsidP="00CE7B68">
      <w:pPr>
        <w:pStyle w:val="BodyText"/>
        <w:rPr>
          <w:rFonts w:asciiTheme="majorHAnsi" w:hAnsiTheme="majorHAnsi" w:cstheme="majorHAnsi"/>
        </w:rPr>
      </w:pPr>
    </w:p>
    <w:p w14:paraId="3941E901" w14:textId="77777777" w:rsidR="00BD485A" w:rsidRPr="004315A0" w:rsidRDefault="000653C7" w:rsidP="004315A0">
      <w:pPr>
        <w:pStyle w:val="Title"/>
        <w:rPr>
          <w:rFonts w:asciiTheme="majorHAnsi" w:hAnsiTheme="majorHAnsi" w:cstheme="majorHAnsi"/>
        </w:rPr>
      </w:pPr>
      <w:r>
        <w:rPr>
          <w:rFonts w:asciiTheme="majorHAnsi" w:hAnsiTheme="majorHAnsi" w:cstheme="majorHAnsi"/>
        </w:rPr>
        <w:t>Handling and Assessing NCRA responses</w:t>
      </w:r>
    </w:p>
    <w:p w14:paraId="3094A5F4" w14:textId="77777777" w:rsidR="0068081A" w:rsidRPr="004315A0" w:rsidRDefault="0068081A" w:rsidP="005F07E3">
      <w:pPr>
        <w:pStyle w:val="BodyText"/>
        <w:rPr>
          <w:rFonts w:asciiTheme="majorHAnsi" w:hAnsiTheme="majorHAnsi" w:cstheme="majorHAnsi"/>
        </w:rPr>
      </w:pPr>
    </w:p>
    <w:p w14:paraId="51AF57BC" w14:textId="77777777" w:rsidR="0068081A" w:rsidRPr="004315A0" w:rsidRDefault="0068081A" w:rsidP="005F07E3">
      <w:pPr>
        <w:pStyle w:val="BodyText"/>
        <w:rPr>
          <w:rFonts w:asciiTheme="majorHAnsi" w:hAnsiTheme="majorHAnsi" w:cstheme="majorHAnsi"/>
        </w:rPr>
      </w:pPr>
    </w:p>
    <w:p w14:paraId="4EC595D2" w14:textId="77777777" w:rsidR="0068081A" w:rsidRPr="004315A0" w:rsidRDefault="0068081A" w:rsidP="005F07E3">
      <w:pPr>
        <w:pStyle w:val="BodyText"/>
        <w:rPr>
          <w:rFonts w:asciiTheme="majorHAnsi" w:hAnsiTheme="majorHAnsi" w:cstheme="majorHAnsi"/>
        </w:rPr>
      </w:pPr>
    </w:p>
    <w:p w14:paraId="0D1180EB" w14:textId="77777777" w:rsidR="0068081A" w:rsidRPr="004315A0" w:rsidRDefault="0068081A" w:rsidP="005F07E3">
      <w:pPr>
        <w:pStyle w:val="BodyText"/>
        <w:rPr>
          <w:rFonts w:asciiTheme="majorHAnsi" w:hAnsiTheme="majorHAnsi" w:cstheme="majorHAnsi"/>
        </w:rPr>
      </w:pPr>
    </w:p>
    <w:p w14:paraId="738B72DD" w14:textId="77777777" w:rsidR="0068081A" w:rsidRPr="004315A0" w:rsidRDefault="0068081A" w:rsidP="00CE7B68">
      <w:pPr>
        <w:pStyle w:val="BodyText"/>
        <w:jc w:val="right"/>
        <w:rPr>
          <w:rFonts w:asciiTheme="majorHAnsi" w:hAnsiTheme="majorHAnsi" w:cstheme="majorHAnsi"/>
        </w:rPr>
      </w:pPr>
    </w:p>
    <w:p w14:paraId="47C26AAA" w14:textId="77777777" w:rsidR="0068081A" w:rsidRPr="004315A0" w:rsidRDefault="0068081A" w:rsidP="00CE7B68">
      <w:pPr>
        <w:pStyle w:val="BodyText"/>
        <w:jc w:val="right"/>
        <w:rPr>
          <w:rFonts w:asciiTheme="majorHAnsi" w:hAnsiTheme="majorHAnsi" w:cstheme="majorHAnsi"/>
        </w:rPr>
      </w:pPr>
    </w:p>
    <w:p w14:paraId="0882E8A2" w14:textId="77777777" w:rsidR="00CE7B68" w:rsidRPr="004315A0" w:rsidRDefault="00CE7B68" w:rsidP="00CE7B68">
      <w:pPr>
        <w:pStyle w:val="BodyText"/>
        <w:jc w:val="right"/>
        <w:rPr>
          <w:rFonts w:asciiTheme="majorHAnsi" w:hAnsiTheme="majorHAnsi" w:cstheme="majorHAnsi"/>
        </w:rPr>
      </w:pPr>
    </w:p>
    <w:p w14:paraId="21233F68" w14:textId="77777777" w:rsidR="00CE7B68" w:rsidRPr="004315A0" w:rsidRDefault="00CE7B68" w:rsidP="00CE7B68">
      <w:pPr>
        <w:pStyle w:val="BodyText"/>
        <w:jc w:val="right"/>
        <w:rPr>
          <w:rFonts w:asciiTheme="majorHAnsi" w:hAnsiTheme="majorHAnsi" w:cstheme="majorHAnsi"/>
        </w:rPr>
      </w:pPr>
    </w:p>
    <w:p w14:paraId="6044473B" w14:textId="77777777" w:rsidR="00CE7B68" w:rsidRPr="004315A0" w:rsidRDefault="00CE7B68" w:rsidP="00CE7B68">
      <w:pPr>
        <w:pStyle w:val="BodyText"/>
        <w:jc w:val="right"/>
        <w:rPr>
          <w:rFonts w:asciiTheme="majorHAnsi" w:hAnsiTheme="majorHAnsi" w:cstheme="majorHAnsi"/>
        </w:rPr>
      </w:pPr>
    </w:p>
    <w:p w14:paraId="366D8318" w14:textId="77777777" w:rsidR="00CE7B68" w:rsidRPr="004315A0" w:rsidRDefault="00CE7B68" w:rsidP="00CE7B68">
      <w:pPr>
        <w:pStyle w:val="BodyText"/>
        <w:jc w:val="right"/>
        <w:rPr>
          <w:rFonts w:asciiTheme="majorHAnsi" w:hAnsiTheme="majorHAnsi" w:cstheme="majorHAnsi"/>
        </w:rPr>
      </w:pPr>
    </w:p>
    <w:p w14:paraId="224AEF56" w14:textId="77777777" w:rsidR="00CE7B68" w:rsidRPr="004315A0" w:rsidRDefault="00CE7B68" w:rsidP="00CE7B68">
      <w:pPr>
        <w:pStyle w:val="BodyText"/>
        <w:jc w:val="right"/>
        <w:rPr>
          <w:rFonts w:asciiTheme="majorHAnsi" w:hAnsiTheme="majorHAnsi" w:cstheme="majorHAnsi"/>
        </w:rPr>
      </w:pPr>
    </w:p>
    <w:p w14:paraId="2FCC71E3" w14:textId="77777777" w:rsidR="00CE7B68" w:rsidRPr="004315A0" w:rsidRDefault="00CE7B68" w:rsidP="00CE7B68">
      <w:pPr>
        <w:pStyle w:val="BodyText"/>
        <w:jc w:val="right"/>
        <w:rPr>
          <w:rFonts w:asciiTheme="majorHAnsi" w:hAnsiTheme="majorHAnsi" w:cstheme="majorHAnsi"/>
        </w:rPr>
      </w:pPr>
    </w:p>
    <w:p w14:paraId="5139DB6B" w14:textId="77777777" w:rsidR="00CE7B68" w:rsidRPr="004315A0" w:rsidRDefault="00CE7B68" w:rsidP="00CE7B68">
      <w:pPr>
        <w:pStyle w:val="BodyText"/>
        <w:jc w:val="right"/>
        <w:rPr>
          <w:rFonts w:asciiTheme="majorHAnsi" w:hAnsiTheme="majorHAnsi" w:cstheme="majorHAnsi"/>
        </w:rPr>
      </w:pPr>
    </w:p>
    <w:p w14:paraId="33A37C6D" w14:textId="77777777" w:rsidR="004315A0" w:rsidRPr="004315A0" w:rsidRDefault="004315A0" w:rsidP="00BD485A">
      <w:pPr>
        <w:spacing w:after="0" w:line="259" w:lineRule="auto"/>
        <w:ind w:left="0" w:firstLine="0"/>
        <w:rPr>
          <w:rFonts w:asciiTheme="majorHAnsi" w:eastAsia="Calibri" w:hAnsiTheme="majorHAnsi" w:cstheme="majorHAnsi"/>
          <w:b/>
          <w:sz w:val="36"/>
        </w:rPr>
      </w:pPr>
    </w:p>
    <w:p w14:paraId="21E9324C" w14:textId="77777777" w:rsidR="004315A0" w:rsidRPr="004315A0" w:rsidRDefault="004315A0" w:rsidP="00BD485A">
      <w:pPr>
        <w:spacing w:after="0" w:line="259" w:lineRule="auto"/>
        <w:ind w:left="0" w:firstLine="0"/>
        <w:rPr>
          <w:rFonts w:asciiTheme="majorHAnsi" w:eastAsia="Calibri" w:hAnsiTheme="majorHAnsi" w:cstheme="majorHAnsi"/>
          <w:b/>
          <w:sz w:val="36"/>
        </w:rPr>
      </w:pPr>
    </w:p>
    <w:p w14:paraId="0A3B5924" w14:textId="77777777" w:rsidR="004315A0" w:rsidRPr="004315A0" w:rsidRDefault="004315A0" w:rsidP="00BD485A">
      <w:pPr>
        <w:spacing w:after="0" w:line="259" w:lineRule="auto"/>
        <w:ind w:left="0" w:firstLine="0"/>
        <w:rPr>
          <w:rFonts w:asciiTheme="majorHAnsi" w:eastAsia="Calibri" w:hAnsiTheme="majorHAnsi" w:cstheme="majorHAnsi"/>
          <w:b/>
          <w:sz w:val="36"/>
        </w:rPr>
      </w:pPr>
    </w:p>
    <w:p w14:paraId="21D77127" w14:textId="77777777" w:rsidR="000653C7" w:rsidRPr="00EA3210" w:rsidRDefault="000653C7" w:rsidP="00EA3210">
      <w:pPr>
        <w:spacing w:after="0" w:line="259" w:lineRule="auto"/>
        <w:ind w:left="0" w:firstLine="0"/>
        <w:rPr>
          <w:rFonts w:asciiTheme="minorHAnsi" w:eastAsia="Calibri" w:hAnsiTheme="minorHAnsi" w:cstheme="minorHAnsi"/>
          <w:szCs w:val="24"/>
        </w:rPr>
      </w:pPr>
      <w:bookmarkStart w:id="0" w:name="_GoBack"/>
      <w:bookmarkEnd w:id="0"/>
      <w:r w:rsidRPr="00EA3210">
        <w:rPr>
          <w:rFonts w:asciiTheme="minorHAnsi" w:eastAsia="Calibri" w:hAnsiTheme="minorHAnsi" w:cstheme="minorHAnsi"/>
          <w:b/>
          <w:szCs w:val="24"/>
        </w:rPr>
        <w:lastRenderedPageBreak/>
        <w:t xml:space="preserve">Summary of activities to do when receiving the NCRA responses  </w:t>
      </w:r>
    </w:p>
    <w:p w14:paraId="611CAC0C" w14:textId="77777777" w:rsidR="000653C7" w:rsidRPr="00EA3210" w:rsidRDefault="000653C7" w:rsidP="000653C7">
      <w:pPr>
        <w:spacing w:after="13"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2401421F"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Collate data as soon as it becomes available, as this helps to see the patterns and gaps in the collective data.  </w:t>
      </w:r>
    </w:p>
    <w:p w14:paraId="5F52591B" w14:textId="77777777" w:rsidR="000653C7" w:rsidRPr="00EA3210" w:rsidRDefault="000653C7" w:rsidP="000653C7">
      <w:pPr>
        <w:spacing w:after="13" w:line="259" w:lineRule="auto"/>
        <w:ind w:left="72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75314356"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Look for very similar / identical answers across responses from the same organisation e.g. vulnerabilities all the same.  </w:t>
      </w:r>
    </w:p>
    <w:p w14:paraId="7DF134F9" w14:textId="77777777" w:rsidR="000653C7" w:rsidRPr="00EA3210" w:rsidRDefault="000653C7" w:rsidP="000653C7">
      <w:pPr>
        <w:spacing w:after="16"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298A22AE"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Be willing to go back to the response-sending organisation(s) and check whether it was one or many people doing the responses. There should be noticeable differences in answers if multiple people were involved. </w:t>
      </w:r>
    </w:p>
    <w:p w14:paraId="3361282E" w14:textId="77777777" w:rsidR="000653C7" w:rsidRPr="00EA3210" w:rsidRDefault="000653C7" w:rsidP="000653C7">
      <w:pPr>
        <w:spacing w:after="14"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314F44AE"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Look for common systems in the same sector; they should be there. A missing system can be an indicator that not all systems have been identified, or maybe there is a ‘trust’ issue that needs to be fixed.  </w:t>
      </w:r>
    </w:p>
    <w:p w14:paraId="490A8421" w14:textId="77777777" w:rsidR="000653C7" w:rsidRPr="00EA3210" w:rsidRDefault="000653C7" w:rsidP="000653C7">
      <w:pPr>
        <w:spacing w:after="13"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337BB351"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Check that the systems are at a business functional level, and not something like a small networking component, unless this part is genuinely critical. </w:t>
      </w:r>
    </w:p>
    <w:p w14:paraId="2B9AEF49" w14:textId="77777777" w:rsidR="000653C7" w:rsidRPr="00EA3210" w:rsidRDefault="000653C7" w:rsidP="000653C7">
      <w:pPr>
        <w:spacing w:after="13"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71DA9A95"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Compare NCRA responses with any security audit information you may have. There should be a correlation. If not, this may be a hint to ask for more information. </w:t>
      </w:r>
    </w:p>
    <w:p w14:paraId="6A6948E0" w14:textId="77777777" w:rsidR="000653C7" w:rsidRPr="00EA3210" w:rsidRDefault="000653C7" w:rsidP="000653C7">
      <w:pPr>
        <w:spacing w:after="16"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641DB83A" w14:textId="77777777" w:rsidR="000653C7" w:rsidRPr="00EA3210" w:rsidRDefault="000653C7" w:rsidP="000653C7">
      <w:pPr>
        <w:numPr>
          <w:ilvl w:val="0"/>
          <w:numId w:val="16"/>
        </w:numPr>
        <w:spacing w:after="5" w:line="250" w:lineRule="auto"/>
        <w:rPr>
          <w:rFonts w:asciiTheme="minorHAnsi" w:eastAsia="Calibri" w:hAnsiTheme="minorHAnsi" w:cstheme="minorHAnsi"/>
          <w:szCs w:val="24"/>
        </w:rPr>
      </w:pPr>
      <w:r w:rsidRPr="00EA3210">
        <w:rPr>
          <w:rFonts w:asciiTheme="minorHAnsi" w:eastAsia="Calibri" w:hAnsiTheme="minorHAnsi" w:cstheme="minorHAnsi"/>
          <w:szCs w:val="24"/>
        </w:rPr>
        <w:t xml:space="preserve">Put real energy and time into building the relationships with the organisations. The effort will be rewarded in terms of finding the right cyber security responses at a national level and continuing to have support from the organisations. </w:t>
      </w:r>
      <w:r w:rsidRPr="00EA3210">
        <w:rPr>
          <w:rFonts w:asciiTheme="minorHAnsi" w:eastAsia="Wingdings" w:hAnsiTheme="minorHAnsi" w:cstheme="minorHAnsi"/>
          <w:szCs w:val="24"/>
        </w:rPr>
        <w:t>☺</w:t>
      </w:r>
      <w:r w:rsidRPr="00EA3210">
        <w:rPr>
          <w:rFonts w:asciiTheme="minorHAnsi" w:eastAsia="Calibri" w:hAnsiTheme="minorHAnsi" w:cstheme="minorHAnsi"/>
          <w:szCs w:val="24"/>
        </w:rPr>
        <w:t xml:space="preserve"> </w:t>
      </w:r>
    </w:p>
    <w:p w14:paraId="633176C3"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b/>
          <w:szCs w:val="24"/>
        </w:rPr>
        <w:t xml:space="preserve"> </w:t>
      </w:r>
    </w:p>
    <w:p w14:paraId="7BA6140B"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b/>
          <w:szCs w:val="24"/>
        </w:rPr>
        <w:t xml:space="preserve"> </w:t>
      </w:r>
      <w:r w:rsidRPr="00EA3210">
        <w:rPr>
          <w:rFonts w:asciiTheme="minorHAnsi" w:eastAsia="Calibri" w:hAnsiTheme="minorHAnsi" w:cstheme="minorHAnsi"/>
          <w:b/>
          <w:szCs w:val="24"/>
        </w:rPr>
        <w:tab/>
        <w:t xml:space="preserve"> </w:t>
      </w:r>
    </w:p>
    <w:p w14:paraId="2D5BD7D8" w14:textId="77777777" w:rsidR="000653C7" w:rsidRPr="00EA3210" w:rsidRDefault="000653C7" w:rsidP="000653C7">
      <w:pPr>
        <w:spacing w:after="0" w:line="259" w:lineRule="auto"/>
        <w:ind w:left="-5"/>
        <w:rPr>
          <w:rFonts w:asciiTheme="minorHAnsi" w:eastAsia="Calibri" w:hAnsiTheme="minorHAnsi" w:cstheme="minorHAnsi"/>
          <w:szCs w:val="24"/>
        </w:rPr>
      </w:pPr>
      <w:r w:rsidRPr="00EA3210">
        <w:rPr>
          <w:rFonts w:asciiTheme="minorHAnsi" w:eastAsia="Calibri" w:hAnsiTheme="minorHAnsi" w:cstheme="minorHAnsi"/>
          <w:b/>
          <w:szCs w:val="24"/>
        </w:rPr>
        <w:t xml:space="preserve">Checklist for assessing the quality of NCRA responses </w:t>
      </w:r>
    </w:p>
    <w:p w14:paraId="37743809" w14:textId="77777777" w:rsidR="000653C7" w:rsidRPr="00EA3210" w:rsidRDefault="000653C7" w:rsidP="000653C7">
      <w:pPr>
        <w:spacing w:after="25"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00967E73"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Is the form complete? </w:t>
      </w:r>
    </w:p>
    <w:p w14:paraId="287DB8B4"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7A238A56"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We would expect to see all the major questions answered, or ‘placeholders’ included for information that is to follow. The optional information may be provided but it is not essential. </w:t>
      </w:r>
    </w:p>
    <w:p w14:paraId="407EEC62" w14:textId="77777777" w:rsidR="000653C7" w:rsidRPr="00EA3210" w:rsidRDefault="000653C7" w:rsidP="000653C7">
      <w:pPr>
        <w:spacing w:after="25"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603F3375"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Does it look as though what is completed look to be done accurately? </w:t>
      </w:r>
    </w:p>
    <w:p w14:paraId="73A5F0C2"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401239D6"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We would expect there to be a good level accuracy e.g. word use, spelling, and punctuation, for system names, explanations, and descriptions.  </w:t>
      </w:r>
    </w:p>
    <w:p w14:paraId="1641AE39" w14:textId="77777777" w:rsidR="000653C7" w:rsidRPr="00EA3210" w:rsidRDefault="000653C7" w:rsidP="000653C7">
      <w:pPr>
        <w:spacing w:after="28" w:line="259" w:lineRule="auto"/>
        <w:ind w:left="72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70C56E43"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Has each organisation identified the range of systems expected?  </w:t>
      </w:r>
    </w:p>
    <w:p w14:paraId="6123EAF6" w14:textId="77777777" w:rsidR="000653C7" w:rsidRPr="00EA3210" w:rsidRDefault="000653C7" w:rsidP="000653C7">
      <w:pPr>
        <w:spacing w:after="0" w:line="259" w:lineRule="auto"/>
        <w:ind w:left="72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39F9CB7D"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There are a variety of standard systems that could be viewed as critical, covering business, mission and safety; though some straddle more than one area.  </w:t>
      </w:r>
    </w:p>
    <w:p w14:paraId="3F00585F" w14:textId="77777777" w:rsidR="000653C7" w:rsidRPr="00EA3210" w:rsidRDefault="000653C7" w:rsidP="000653C7">
      <w:pPr>
        <w:spacing w:after="25" w:line="259" w:lineRule="auto"/>
        <w:ind w:left="72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0B4B05D0"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lastRenderedPageBreak/>
        <w:t xml:space="preserve">Is there a sensible range of answers per system?  </w:t>
      </w:r>
    </w:p>
    <w:p w14:paraId="582AB31C"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79261C00"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It is unlikely that all responses in each section will score in the same e.g. </w:t>
      </w:r>
    </w:p>
    <w:p w14:paraId="460D1C3E"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vulnerabilities, threats, etc. Therefore, check whether there is a spread of results. </w:t>
      </w:r>
    </w:p>
    <w:p w14:paraId="00015443" w14:textId="77777777" w:rsidR="000653C7" w:rsidRPr="00EA3210" w:rsidRDefault="000653C7" w:rsidP="000653C7">
      <w:pPr>
        <w:spacing w:after="26"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4E0A4ABB"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Have conversations taken place with each organisation to help complete the forms? </w:t>
      </w:r>
    </w:p>
    <w:p w14:paraId="7BE1D135"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2123CDD3"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Most organisations tend to benefit from a little help or clarification; or may already be seeking help to complete the questionnaires. In these discussions, additional confidence may have been gained from having: </w:t>
      </w:r>
    </w:p>
    <w:p w14:paraId="759BDCF5" w14:textId="77777777" w:rsidR="000653C7" w:rsidRPr="00EA3210" w:rsidRDefault="000653C7" w:rsidP="000653C7">
      <w:pPr>
        <w:spacing w:after="14" w:line="259" w:lineRule="auto"/>
        <w:ind w:left="72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7778A3E1" w14:textId="77777777" w:rsidR="000653C7" w:rsidRPr="00EA3210" w:rsidRDefault="000653C7" w:rsidP="000653C7">
      <w:pPr>
        <w:spacing w:after="27" w:line="250" w:lineRule="auto"/>
        <w:ind w:left="1090" w:right="1025"/>
        <w:rPr>
          <w:rFonts w:asciiTheme="minorHAnsi" w:eastAsia="Calibri" w:hAnsiTheme="minorHAnsi" w:cstheme="minorHAnsi"/>
          <w:szCs w:val="24"/>
        </w:rPr>
      </w:pPr>
      <w:r w:rsidRPr="00EA3210">
        <w:rPr>
          <w:rFonts w:asciiTheme="minorHAnsi" w:eastAsia="Courier New" w:hAnsiTheme="minorHAnsi" w:cstheme="minorHAnsi"/>
          <w:szCs w:val="24"/>
        </w:rPr>
        <w:t>o</w:t>
      </w:r>
      <w:r w:rsidRPr="00EA3210">
        <w:rPr>
          <w:rFonts w:asciiTheme="minorHAnsi" w:eastAsia="Arial" w:hAnsiTheme="minorHAnsi" w:cstheme="minorHAnsi"/>
          <w:szCs w:val="24"/>
        </w:rPr>
        <w:t xml:space="preserve"> </w:t>
      </w:r>
      <w:r w:rsidRPr="00EA3210">
        <w:rPr>
          <w:rFonts w:asciiTheme="minorHAnsi" w:eastAsia="Calibri" w:hAnsiTheme="minorHAnsi" w:cstheme="minorHAnsi"/>
          <w:szCs w:val="24"/>
        </w:rPr>
        <w:t xml:space="preserve">An appropriate level of seniority present </w:t>
      </w:r>
      <w:r w:rsidRPr="00EA3210">
        <w:rPr>
          <w:rFonts w:asciiTheme="minorHAnsi" w:eastAsia="Courier New" w:hAnsiTheme="minorHAnsi" w:cstheme="minorHAnsi"/>
          <w:szCs w:val="24"/>
        </w:rPr>
        <w:t>o</w:t>
      </w:r>
      <w:r w:rsidRPr="00EA3210">
        <w:rPr>
          <w:rFonts w:asciiTheme="minorHAnsi" w:eastAsia="Arial" w:hAnsiTheme="minorHAnsi" w:cstheme="minorHAnsi"/>
          <w:szCs w:val="24"/>
        </w:rPr>
        <w:t xml:space="preserve"> </w:t>
      </w:r>
      <w:r w:rsidRPr="00EA3210">
        <w:rPr>
          <w:rFonts w:asciiTheme="minorHAnsi" w:eastAsia="Calibri" w:hAnsiTheme="minorHAnsi" w:cstheme="minorHAnsi"/>
          <w:szCs w:val="24"/>
        </w:rPr>
        <w:t xml:space="preserve">Access to people with knowledge and experience  </w:t>
      </w:r>
      <w:r w:rsidRPr="00EA3210">
        <w:rPr>
          <w:rFonts w:asciiTheme="minorHAnsi" w:eastAsia="Courier New" w:hAnsiTheme="minorHAnsi" w:cstheme="minorHAnsi"/>
          <w:szCs w:val="24"/>
        </w:rPr>
        <w:t>o</w:t>
      </w:r>
      <w:r w:rsidRPr="00EA3210">
        <w:rPr>
          <w:rFonts w:asciiTheme="minorHAnsi" w:eastAsia="Arial" w:hAnsiTheme="minorHAnsi" w:cstheme="minorHAnsi"/>
          <w:szCs w:val="24"/>
        </w:rPr>
        <w:t xml:space="preserve"> </w:t>
      </w:r>
      <w:r w:rsidRPr="00EA3210">
        <w:rPr>
          <w:rFonts w:asciiTheme="minorHAnsi" w:eastAsia="Calibri" w:hAnsiTheme="minorHAnsi" w:cstheme="minorHAnsi"/>
          <w:szCs w:val="24"/>
        </w:rPr>
        <w:t xml:space="preserve">Access to people in the right department who own the system  </w:t>
      </w:r>
      <w:r w:rsidRPr="00EA3210">
        <w:rPr>
          <w:rFonts w:asciiTheme="minorHAnsi" w:eastAsia="Courier New" w:hAnsiTheme="minorHAnsi" w:cstheme="minorHAnsi"/>
          <w:szCs w:val="24"/>
        </w:rPr>
        <w:t>o</w:t>
      </w:r>
      <w:r w:rsidRPr="00EA3210">
        <w:rPr>
          <w:rFonts w:asciiTheme="minorHAnsi" w:eastAsia="Arial" w:hAnsiTheme="minorHAnsi" w:cstheme="minorHAnsi"/>
          <w:szCs w:val="24"/>
        </w:rPr>
        <w:t xml:space="preserve"> </w:t>
      </w:r>
      <w:r w:rsidRPr="00EA3210">
        <w:rPr>
          <w:rFonts w:asciiTheme="minorHAnsi" w:eastAsia="Calibri" w:hAnsiTheme="minorHAnsi" w:cstheme="minorHAnsi"/>
          <w:szCs w:val="24"/>
        </w:rPr>
        <w:t xml:space="preserve">A decent amount of time for discussion </w:t>
      </w:r>
      <w:r w:rsidRPr="00EA3210">
        <w:rPr>
          <w:rFonts w:asciiTheme="minorHAnsi" w:eastAsia="Courier New" w:hAnsiTheme="minorHAnsi" w:cstheme="minorHAnsi"/>
          <w:szCs w:val="24"/>
        </w:rPr>
        <w:t>o</w:t>
      </w:r>
      <w:r w:rsidRPr="00EA3210">
        <w:rPr>
          <w:rFonts w:asciiTheme="minorHAnsi" w:eastAsia="Arial" w:hAnsiTheme="minorHAnsi" w:cstheme="minorHAnsi"/>
          <w:szCs w:val="24"/>
        </w:rPr>
        <w:t xml:space="preserve"> </w:t>
      </w:r>
      <w:r w:rsidRPr="00EA3210">
        <w:rPr>
          <w:rFonts w:asciiTheme="minorHAnsi" w:eastAsia="Calibri" w:hAnsiTheme="minorHAnsi" w:cstheme="minorHAnsi"/>
          <w:szCs w:val="24"/>
        </w:rPr>
        <w:t xml:space="preserve">A sense of engagement and enthusiasm towards the NCRA </w:t>
      </w:r>
      <w:r w:rsidRPr="00EA3210">
        <w:rPr>
          <w:rFonts w:asciiTheme="minorHAnsi" w:eastAsia="Courier New" w:hAnsiTheme="minorHAnsi" w:cstheme="minorHAnsi"/>
          <w:szCs w:val="24"/>
        </w:rPr>
        <w:t>o</w:t>
      </w:r>
      <w:r w:rsidRPr="00EA3210">
        <w:rPr>
          <w:rFonts w:asciiTheme="minorHAnsi" w:eastAsia="Arial" w:hAnsiTheme="minorHAnsi" w:cstheme="minorHAnsi"/>
          <w:szCs w:val="24"/>
        </w:rPr>
        <w:t xml:space="preserve"> </w:t>
      </w:r>
      <w:r w:rsidRPr="00EA3210">
        <w:rPr>
          <w:rFonts w:asciiTheme="minorHAnsi" w:eastAsia="Calibri" w:hAnsiTheme="minorHAnsi" w:cstheme="minorHAnsi"/>
          <w:szCs w:val="24"/>
        </w:rPr>
        <w:t xml:space="preserve">People involved who have an attention to detail &amp; the ‘big picture’.  </w:t>
      </w:r>
    </w:p>
    <w:p w14:paraId="6A33D8C2" w14:textId="77777777" w:rsidR="000653C7" w:rsidRPr="00EA3210" w:rsidRDefault="000653C7" w:rsidP="000653C7">
      <w:pPr>
        <w:spacing w:after="25" w:line="259" w:lineRule="auto"/>
        <w:ind w:left="144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620F8B94"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How do the similar system responses from one organisation compare to another? </w:t>
      </w:r>
    </w:p>
    <w:p w14:paraId="096A8556"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5689DC2E"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Given that some systems e.g. cash / accounting systems are found in many organisations, it can be useful to compare responses. This can help to get a sense for the level of risk appetite and basic levels of protection.  </w:t>
      </w:r>
    </w:p>
    <w:p w14:paraId="01D0A370" w14:textId="77777777" w:rsidR="000653C7" w:rsidRPr="00EA3210" w:rsidRDefault="000653C7" w:rsidP="000653C7">
      <w:pPr>
        <w:spacing w:after="25"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3C1AA12E"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Based on experience, do any of the answers seem odd or unexpected? </w:t>
      </w:r>
    </w:p>
    <w:p w14:paraId="64A642F8"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59640C18"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It is expected that the people reviewing the answers will have had some experience of the sectors, organisations and the systems within them. It should therefore be possible to make some ‘judgement calls’ on whether the answers seem sensible.  </w:t>
      </w:r>
    </w:p>
    <w:p w14:paraId="6E30D30D" w14:textId="77777777" w:rsidR="000653C7" w:rsidRPr="00EA3210" w:rsidRDefault="000653C7" w:rsidP="000653C7">
      <w:pPr>
        <w:spacing w:after="26"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621D8DDC"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Are there any unusual or interesting systems reported? </w:t>
      </w:r>
    </w:p>
    <w:p w14:paraId="22D81FBE"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5846884D"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Many systems in an organisation could be classed as critical. It depends on the business, business model, organisational setup, risk posture, etc. However, if unusual systems are reported, it would be useful to check why included and possibly ask more about them. We usually expect just to see functional / service-based systems being classed as critical e.g. core network control system, accounting system, factory control system, generating control system, distribution system, software update system, etc. Note that some of these ‘</w:t>
      </w:r>
      <w:proofErr w:type="gramStart"/>
      <w:r w:rsidRPr="00EA3210">
        <w:rPr>
          <w:rFonts w:asciiTheme="minorHAnsi" w:eastAsia="Calibri" w:hAnsiTheme="minorHAnsi" w:cstheme="minorHAnsi"/>
          <w:szCs w:val="24"/>
        </w:rPr>
        <w:t>systems’</w:t>
      </w:r>
      <w:proofErr w:type="gramEnd"/>
      <w:r w:rsidRPr="00EA3210">
        <w:rPr>
          <w:rFonts w:asciiTheme="minorHAnsi" w:eastAsia="Calibri" w:hAnsiTheme="minorHAnsi" w:cstheme="minorHAnsi"/>
          <w:szCs w:val="24"/>
        </w:rPr>
        <w:t xml:space="preserve"> will include roles that are done by people and people can be hacked too! </w:t>
      </w:r>
    </w:p>
    <w:p w14:paraId="24E7C85E" w14:textId="77777777" w:rsidR="000653C7" w:rsidRPr="00EA3210" w:rsidRDefault="000653C7" w:rsidP="000653C7">
      <w:pPr>
        <w:spacing w:after="26"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6AFE822E"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Are any of the responses particularly high or low? </w:t>
      </w:r>
    </w:p>
    <w:p w14:paraId="40D51C37"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4AA84D69"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If answers are too high, it could be a cry for help, wanting attention, or suspecting that funds will be made available to help the organisation; or the organisation really has a genuinely high-risk system. While answers that all appear low could be indicative of an organisation in denial or wanting to cover up risks. Or the organisation really is on top of its cyber risks </w:t>
      </w:r>
      <w:r w:rsidRPr="00EA3210">
        <w:rPr>
          <w:rFonts w:asciiTheme="minorHAnsi" w:eastAsia="Wingdings" w:hAnsiTheme="minorHAnsi" w:cstheme="minorHAnsi"/>
          <w:szCs w:val="24"/>
        </w:rPr>
        <w:t>☺</w:t>
      </w:r>
      <w:r w:rsidRPr="00EA3210">
        <w:rPr>
          <w:rFonts w:asciiTheme="minorHAnsi" w:eastAsia="Calibri" w:hAnsiTheme="minorHAnsi" w:cstheme="minorHAnsi"/>
          <w:szCs w:val="24"/>
        </w:rPr>
        <w:t xml:space="preserve">.  </w:t>
      </w:r>
    </w:p>
    <w:p w14:paraId="35AE9068" w14:textId="77777777" w:rsidR="000653C7" w:rsidRPr="00EA3210" w:rsidRDefault="000653C7" w:rsidP="000653C7">
      <w:pPr>
        <w:spacing w:after="25"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lastRenderedPageBreak/>
        <w:t xml:space="preserve"> </w:t>
      </w:r>
    </w:p>
    <w:p w14:paraId="04E6C8C4"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Have the responses been reported as validated in the organisation? </w:t>
      </w:r>
    </w:p>
    <w:p w14:paraId="24B0B8A8"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2AA8DA60"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If the organisation can claim that their system owners, tech director or other responsible members have all helped to form the response it is generally a good sign.   </w:t>
      </w:r>
    </w:p>
    <w:p w14:paraId="2ACE6A72" w14:textId="77777777" w:rsidR="000653C7" w:rsidRPr="00EA3210" w:rsidRDefault="000653C7" w:rsidP="000653C7">
      <w:pPr>
        <w:spacing w:after="25"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4BD65B86" w14:textId="77777777" w:rsidR="000653C7" w:rsidRPr="00EA3210" w:rsidRDefault="000653C7" w:rsidP="000653C7">
      <w:pPr>
        <w:numPr>
          <w:ilvl w:val="0"/>
          <w:numId w:val="17"/>
        </w:numPr>
        <w:spacing w:after="0" w:line="259"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Has each organisation’s response been ‘signed-off’ at a senior level? </w:t>
      </w:r>
    </w:p>
    <w:p w14:paraId="798201C9"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0B8B819F"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Having a senior responsible owner for the response, who can authorise the release of the response, and claim that the right people have contributed to it, is another good sign. </w:t>
      </w:r>
    </w:p>
    <w:p w14:paraId="01F85F25" w14:textId="77777777" w:rsidR="000653C7" w:rsidRPr="00EA3210" w:rsidRDefault="000653C7" w:rsidP="000653C7">
      <w:pPr>
        <w:spacing w:after="28"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3066D2A1" w14:textId="77777777" w:rsidR="000653C7" w:rsidRPr="00EA3210" w:rsidRDefault="000653C7" w:rsidP="000653C7">
      <w:pPr>
        <w:numPr>
          <w:ilvl w:val="0"/>
          <w:numId w:val="17"/>
        </w:numPr>
        <w:spacing w:after="5" w:line="250" w:lineRule="auto"/>
        <w:ind w:hanging="360"/>
        <w:rPr>
          <w:rFonts w:asciiTheme="minorHAnsi" w:eastAsia="Calibri" w:hAnsiTheme="minorHAnsi" w:cstheme="minorHAnsi"/>
          <w:szCs w:val="24"/>
        </w:rPr>
      </w:pPr>
      <w:r w:rsidRPr="00EA3210">
        <w:rPr>
          <w:rFonts w:asciiTheme="minorHAnsi" w:eastAsia="Calibri" w:hAnsiTheme="minorHAnsi" w:cstheme="minorHAnsi"/>
          <w:szCs w:val="24"/>
        </w:rPr>
        <w:t xml:space="preserve">Has the organisation reached out for clarification before submission? </w:t>
      </w:r>
    </w:p>
    <w:p w14:paraId="73AB2934" w14:textId="77777777" w:rsidR="000653C7" w:rsidRPr="00EA3210" w:rsidRDefault="000653C7" w:rsidP="000653C7">
      <w:pPr>
        <w:spacing w:after="0" w:line="259" w:lineRule="auto"/>
        <w:ind w:left="0" w:firstLine="0"/>
        <w:rPr>
          <w:rFonts w:asciiTheme="minorHAnsi" w:eastAsia="Calibri" w:hAnsiTheme="minorHAnsi" w:cstheme="minorHAnsi"/>
          <w:szCs w:val="24"/>
        </w:rPr>
      </w:pPr>
      <w:r w:rsidRPr="00EA3210">
        <w:rPr>
          <w:rFonts w:asciiTheme="minorHAnsi" w:eastAsia="Calibri" w:hAnsiTheme="minorHAnsi" w:cstheme="minorHAnsi"/>
          <w:szCs w:val="24"/>
        </w:rPr>
        <w:t xml:space="preserve"> </w:t>
      </w:r>
    </w:p>
    <w:p w14:paraId="0858A203" w14:textId="77777777" w:rsidR="000653C7" w:rsidRPr="00EA3210" w:rsidRDefault="000653C7" w:rsidP="000653C7">
      <w:pPr>
        <w:spacing w:after="5" w:line="250" w:lineRule="auto"/>
        <w:ind w:left="730"/>
        <w:rPr>
          <w:rFonts w:asciiTheme="minorHAnsi" w:eastAsia="Calibri" w:hAnsiTheme="minorHAnsi" w:cstheme="minorHAnsi"/>
          <w:szCs w:val="24"/>
        </w:rPr>
      </w:pPr>
      <w:r w:rsidRPr="00EA3210">
        <w:rPr>
          <w:rFonts w:asciiTheme="minorHAnsi" w:eastAsia="Calibri" w:hAnsiTheme="minorHAnsi" w:cstheme="minorHAnsi"/>
          <w:szCs w:val="24"/>
        </w:rPr>
        <w:t xml:space="preserve">If the organisation had any doubts about the meaning of the questions or what sensible responses should be and asked for clarification, then this is yet another good sign.  </w:t>
      </w:r>
    </w:p>
    <w:p w14:paraId="4B4BF2C7" w14:textId="77777777" w:rsidR="00BD485A" w:rsidRPr="004315A0" w:rsidRDefault="00BD485A" w:rsidP="00BD485A">
      <w:pPr>
        <w:spacing w:after="0" w:line="259" w:lineRule="auto"/>
        <w:ind w:left="0" w:firstLine="0"/>
        <w:rPr>
          <w:rFonts w:asciiTheme="majorHAnsi" w:hAnsiTheme="majorHAnsi" w:cstheme="majorHAnsi"/>
        </w:rPr>
      </w:pPr>
    </w:p>
    <w:p w14:paraId="3BADA425" w14:textId="77777777" w:rsidR="00CE7B68" w:rsidRPr="004315A0" w:rsidRDefault="00CE7B68" w:rsidP="00CE7B68">
      <w:pPr>
        <w:pStyle w:val="BodyText"/>
        <w:jc w:val="right"/>
        <w:rPr>
          <w:rFonts w:asciiTheme="majorHAnsi" w:hAnsiTheme="majorHAnsi" w:cstheme="majorHAnsi"/>
        </w:rPr>
      </w:pPr>
    </w:p>
    <w:p w14:paraId="0F7EEFD8" w14:textId="77777777" w:rsidR="00CE7B68" w:rsidRPr="004315A0" w:rsidRDefault="00CE7B68" w:rsidP="00CE7B68">
      <w:pPr>
        <w:pStyle w:val="BodyText"/>
        <w:jc w:val="right"/>
        <w:rPr>
          <w:rFonts w:asciiTheme="majorHAnsi" w:hAnsiTheme="majorHAnsi" w:cstheme="majorHAnsi"/>
        </w:rPr>
      </w:pPr>
    </w:p>
    <w:p w14:paraId="13C3E120" w14:textId="77777777" w:rsidR="00CE7B68" w:rsidRPr="004315A0" w:rsidRDefault="00CE7B68" w:rsidP="00CE7B68">
      <w:pPr>
        <w:pStyle w:val="Date"/>
        <w:rPr>
          <w:rFonts w:asciiTheme="majorHAnsi" w:hAnsiTheme="majorHAnsi" w:cstheme="majorHAnsi"/>
        </w:rPr>
      </w:pPr>
    </w:p>
    <w:p w14:paraId="1D4D09AC" w14:textId="3EC36EE8" w:rsidR="00F916DE" w:rsidRPr="00EA3210" w:rsidRDefault="0068081A" w:rsidP="00EA3210">
      <w:pPr>
        <w:pStyle w:val="Date"/>
        <w:rPr>
          <w:rFonts w:asciiTheme="majorHAnsi" w:hAnsiTheme="majorHAnsi" w:cstheme="majorHAnsi"/>
        </w:rPr>
      </w:pPr>
      <w:r w:rsidRPr="004315A0">
        <w:rPr>
          <w:rFonts w:asciiTheme="majorHAnsi" w:hAnsiTheme="majorHAnsi" w:cstheme="majorHAnsi"/>
        </w:rPr>
        <w:t>Ver</w:t>
      </w:r>
    </w:p>
    <w:sectPr w:rsidR="00F916DE" w:rsidRPr="00EA3210" w:rsidSect="004A0927">
      <w:footerReference w:type="default" r:id="rId9"/>
      <w:pgSz w:w="11906" w:h="16838" w:code="9"/>
      <w:pgMar w:top="2041" w:right="709" w:bottom="1418" w:left="709" w:header="680"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5929D" w14:textId="77777777" w:rsidR="00F33ED7" w:rsidRDefault="00F33ED7" w:rsidP="00D06143">
      <w:pPr>
        <w:spacing w:after="0"/>
      </w:pPr>
      <w:r>
        <w:separator/>
      </w:r>
    </w:p>
  </w:endnote>
  <w:endnote w:type="continuationSeparator" w:id="0">
    <w:p w14:paraId="6651232E" w14:textId="77777777" w:rsidR="00F33ED7" w:rsidRDefault="00F33ED7" w:rsidP="00D06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96D5" w14:textId="77777777" w:rsidR="00F916DE" w:rsidRPr="004A0927" w:rsidRDefault="00F916DE" w:rsidP="00CE7B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51AE5" w14:textId="77777777" w:rsidR="00F33ED7" w:rsidRDefault="00F33ED7" w:rsidP="00D06143">
      <w:pPr>
        <w:spacing w:after="0"/>
      </w:pPr>
      <w:r>
        <w:separator/>
      </w:r>
    </w:p>
  </w:footnote>
  <w:footnote w:type="continuationSeparator" w:id="0">
    <w:p w14:paraId="7348E75F" w14:textId="77777777" w:rsidR="00F33ED7" w:rsidRDefault="00F33ED7" w:rsidP="00D06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6EE984"/>
    <w:lvl w:ilvl="0">
      <w:start w:val="1"/>
      <w:numFmt w:val="bullet"/>
      <w:pStyle w:val="ListBullet2"/>
      <w:lvlText w:val=""/>
      <w:lvlJc w:val="left"/>
      <w:pPr>
        <w:tabs>
          <w:tab w:val="num" w:pos="720"/>
        </w:tabs>
        <w:ind w:left="720" w:hanging="363"/>
      </w:pPr>
      <w:rPr>
        <w:rFonts w:ascii="Symbol" w:hAnsi="Symbol" w:hint="default"/>
      </w:rPr>
    </w:lvl>
  </w:abstractNum>
  <w:abstractNum w:abstractNumId="1" w15:restartNumberingAfterBreak="0">
    <w:nsid w:val="FFFFFF88"/>
    <w:multiLevelType w:val="singleLevel"/>
    <w:tmpl w:val="9AC4F24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9E2FB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6E20DE"/>
    <w:multiLevelType w:val="hybridMultilevel"/>
    <w:tmpl w:val="494EA79A"/>
    <w:lvl w:ilvl="0" w:tplc="35C6411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2DB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A475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C0A92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8472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6258C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CFCB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6300A">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80636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2358EB"/>
    <w:multiLevelType w:val="hybridMultilevel"/>
    <w:tmpl w:val="D602963A"/>
    <w:lvl w:ilvl="0" w:tplc="BE86BA26">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6FDB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6DEE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52E00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A05C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3CD4A6">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54A25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5045F6">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6F5C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A050E8"/>
    <w:multiLevelType w:val="hybridMultilevel"/>
    <w:tmpl w:val="4C1887DC"/>
    <w:lvl w:ilvl="0" w:tplc="A7BC44D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EB06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C2D5C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7CFAF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4924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26FED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3A983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EA0B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ACE3F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952157"/>
    <w:multiLevelType w:val="hybridMultilevel"/>
    <w:tmpl w:val="5C2EE10C"/>
    <w:lvl w:ilvl="0" w:tplc="4E86BF5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6EED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E85BB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A847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227E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9C7D1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1E5B3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0C4B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1A8C4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BC7C9B"/>
    <w:multiLevelType w:val="hybridMultilevel"/>
    <w:tmpl w:val="3AD4636E"/>
    <w:lvl w:ilvl="0" w:tplc="103ADD34">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060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4660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A6B60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6DB0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6C4CD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24BE9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4CABE">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44A19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044C8B"/>
    <w:multiLevelType w:val="hybridMultilevel"/>
    <w:tmpl w:val="5A2CD50E"/>
    <w:lvl w:ilvl="0" w:tplc="1458FB5C">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6417C">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C45E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7DC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0592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44A8E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FA005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D4467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CC128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090C48"/>
    <w:multiLevelType w:val="hybridMultilevel"/>
    <w:tmpl w:val="CD828FC2"/>
    <w:lvl w:ilvl="0" w:tplc="A9FA611A">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092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A8588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CE992">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69DB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8882C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8957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F88DB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CEA46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F033A38"/>
    <w:multiLevelType w:val="hybridMultilevel"/>
    <w:tmpl w:val="8F369F3C"/>
    <w:lvl w:ilvl="0" w:tplc="39EC66A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ACC77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1E2E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C0619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520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EAF3E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0A76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CC3A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868A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AC3EFF"/>
    <w:multiLevelType w:val="hybridMultilevel"/>
    <w:tmpl w:val="EDDC986C"/>
    <w:lvl w:ilvl="0" w:tplc="FED86C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229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46F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0279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FAF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E05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C76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6859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436686"/>
    <w:multiLevelType w:val="hybridMultilevel"/>
    <w:tmpl w:val="F1481802"/>
    <w:lvl w:ilvl="0" w:tplc="880489FE">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EF88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BEB83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7C0CD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AA3C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74C2A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FE988E">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26D1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82266">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7BB3C25"/>
    <w:multiLevelType w:val="hybridMultilevel"/>
    <w:tmpl w:val="1E90BBA2"/>
    <w:lvl w:ilvl="0" w:tplc="E0EECCB8">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6AD5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F6B9F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D00D4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49FB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BC596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0B5A4">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49F6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2B75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464685B"/>
    <w:multiLevelType w:val="hybridMultilevel"/>
    <w:tmpl w:val="51AEE1B6"/>
    <w:lvl w:ilvl="0" w:tplc="9DE048E2">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420F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6477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2841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65D7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96620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B017A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A12F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94DD9E">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EA2EF8"/>
    <w:multiLevelType w:val="hybridMultilevel"/>
    <w:tmpl w:val="21169FEA"/>
    <w:lvl w:ilvl="0" w:tplc="7360838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CE86">
      <w:start w:val="1"/>
      <w:numFmt w:val="bullet"/>
      <w:lvlText w:val="o"/>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3E16BE">
      <w:start w:val="1"/>
      <w:numFmt w:val="bullet"/>
      <w:lvlText w:val="▪"/>
      <w:lvlJc w:val="left"/>
      <w:pPr>
        <w:ind w:left="2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5E2D8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E38D0">
      <w:start w:val="1"/>
      <w:numFmt w:val="bullet"/>
      <w:lvlText w:val="o"/>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A1420">
      <w:start w:val="1"/>
      <w:numFmt w:val="bullet"/>
      <w:lvlText w:val="▪"/>
      <w:lvlJc w:val="left"/>
      <w:pPr>
        <w:ind w:left="4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4907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60BA2">
      <w:start w:val="1"/>
      <w:numFmt w:val="bullet"/>
      <w:lvlText w:val="o"/>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FED222">
      <w:start w:val="1"/>
      <w:numFmt w:val="bullet"/>
      <w:lvlText w:val="▪"/>
      <w:lvlJc w:val="left"/>
      <w:pPr>
        <w:ind w:left="6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0"/>
    <w:lvlOverride w:ilvl="0">
      <w:startOverride w:val="1"/>
    </w:lvlOverride>
  </w:num>
  <w:num w:numId="5">
    <w:abstractNumId w:val="13"/>
  </w:num>
  <w:num w:numId="6">
    <w:abstractNumId w:val="15"/>
  </w:num>
  <w:num w:numId="7">
    <w:abstractNumId w:val="14"/>
  </w:num>
  <w:num w:numId="8">
    <w:abstractNumId w:val="9"/>
  </w:num>
  <w:num w:numId="9">
    <w:abstractNumId w:val="12"/>
  </w:num>
  <w:num w:numId="10">
    <w:abstractNumId w:val="3"/>
  </w:num>
  <w:num w:numId="11">
    <w:abstractNumId w:val="8"/>
  </w:num>
  <w:num w:numId="12">
    <w:abstractNumId w:val="5"/>
  </w:num>
  <w:num w:numId="13">
    <w:abstractNumId w:val="7"/>
  </w:num>
  <w:num w:numId="14">
    <w:abstractNumId w:val="6"/>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9E"/>
    <w:rsid w:val="0003556A"/>
    <w:rsid w:val="00035AA5"/>
    <w:rsid w:val="000653C7"/>
    <w:rsid w:val="001A39D4"/>
    <w:rsid w:val="002F1B1B"/>
    <w:rsid w:val="004315A0"/>
    <w:rsid w:val="0046509E"/>
    <w:rsid w:val="004A0927"/>
    <w:rsid w:val="005F07E3"/>
    <w:rsid w:val="0068081A"/>
    <w:rsid w:val="006D23AF"/>
    <w:rsid w:val="007B6223"/>
    <w:rsid w:val="008E15A2"/>
    <w:rsid w:val="00A70BB2"/>
    <w:rsid w:val="00A73863"/>
    <w:rsid w:val="00AD33C8"/>
    <w:rsid w:val="00BB0B08"/>
    <w:rsid w:val="00BD485A"/>
    <w:rsid w:val="00C0173E"/>
    <w:rsid w:val="00C06487"/>
    <w:rsid w:val="00C33F7B"/>
    <w:rsid w:val="00C47E0E"/>
    <w:rsid w:val="00C80213"/>
    <w:rsid w:val="00CB334E"/>
    <w:rsid w:val="00CE7B68"/>
    <w:rsid w:val="00D06143"/>
    <w:rsid w:val="00D25BC6"/>
    <w:rsid w:val="00DF4F77"/>
    <w:rsid w:val="00E05D25"/>
    <w:rsid w:val="00EA3210"/>
    <w:rsid w:val="00F33ED7"/>
    <w:rsid w:val="00F91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B640F"/>
  <w15:chartTrackingRefBased/>
  <w15:docId w15:val="{4F5CF86D-D115-4B66-A001-867479B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2" w:qFormat="1"/>
    <w:lsdException w:name="annotation text" w:semiHidden="1"/>
    <w:lsdException w:name="header" w:uiPriority="4"/>
    <w:lsdException w:name="footer" w:uiPriority="4"/>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4"/>
    <w:lsdException w:name="annotation reference" w:semiHidden="1"/>
    <w:lsdException w:name="line number" w:semiHidden="1"/>
    <w:lsdException w:name="page number" w:uiPriority="9"/>
    <w:lsdException w:name="endnote reference" w:uiPriority="4"/>
    <w:lsdException w:name="endnote text" w:uiPriority="2"/>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4"/>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4"/>
    <w:lsdException w:name="Salutation" w:semiHidden="1"/>
    <w:lsdException w:name="Date" w:uiPriority="4"/>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iPriority="6" w:qFormat="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D485A"/>
    <w:pPr>
      <w:spacing w:after="270" w:line="248" w:lineRule="auto"/>
      <w:ind w:left="10" w:hanging="10"/>
    </w:pPr>
    <w:rPr>
      <w:rFonts w:ascii="Cambria" w:eastAsia="Cambria" w:hAnsi="Cambria" w:cs="Cambria"/>
      <w:color w:val="000000"/>
      <w:sz w:val="24"/>
      <w:lang w:eastAsia="en-GB"/>
    </w:rPr>
  </w:style>
  <w:style w:type="paragraph" w:styleId="Heading1">
    <w:name w:val="heading 1"/>
    <w:next w:val="BodyText"/>
    <w:link w:val="Heading1Char"/>
    <w:qFormat/>
    <w:rsid w:val="008E15A2"/>
    <w:pPr>
      <w:keepNext/>
      <w:keepLines/>
      <w:pageBreakBefore/>
      <w:spacing w:after="480" w:line="240" w:lineRule="auto"/>
      <w:outlineLvl w:val="0"/>
    </w:pPr>
    <w:rPr>
      <w:b/>
      <w:color w:val="024259" w:themeColor="accent1"/>
      <w:sz w:val="48"/>
      <w:szCs w:val="48"/>
    </w:rPr>
  </w:style>
  <w:style w:type="paragraph" w:styleId="Heading2">
    <w:name w:val="heading 2"/>
    <w:basedOn w:val="Heading1"/>
    <w:next w:val="BodyText"/>
    <w:link w:val="Heading2Char"/>
    <w:qFormat/>
    <w:rsid w:val="008E15A2"/>
    <w:pPr>
      <w:pageBreakBefore w:val="0"/>
      <w:spacing w:before="480" w:after="300"/>
      <w:outlineLvl w:val="1"/>
    </w:pPr>
    <w:rPr>
      <w:sz w:val="32"/>
      <w:szCs w:val="32"/>
    </w:rPr>
  </w:style>
  <w:style w:type="paragraph" w:styleId="Heading3">
    <w:name w:val="heading 3"/>
    <w:next w:val="BodyText"/>
    <w:link w:val="Heading3Char"/>
    <w:qFormat/>
    <w:rsid w:val="008E15A2"/>
    <w:pPr>
      <w:keepNext/>
      <w:keepLines/>
      <w:spacing w:after="0" w:line="240" w:lineRule="auto"/>
      <w:outlineLvl w:val="2"/>
    </w:pPr>
    <w:rPr>
      <w:b/>
      <w:sz w:val="24"/>
    </w:rPr>
  </w:style>
  <w:style w:type="paragraph" w:styleId="Heading4">
    <w:name w:val="heading 4"/>
    <w:basedOn w:val="BodyText"/>
    <w:next w:val="BodyText"/>
    <w:link w:val="Heading4Char"/>
    <w:unhideWhenUsed/>
    <w:rsid w:val="008E15A2"/>
    <w:pPr>
      <w:keepNext/>
      <w:keepLines/>
      <w:spacing w:after="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5F07E3"/>
    <w:pPr>
      <w:spacing w:after="240" w:line="240" w:lineRule="auto"/>
    </w:pPr>
    <w:rPr>
      <w:sz w:val="24"/>
    </w:rPr>
  </w:style>
  <w:style w:type="character" w:customStyle="1" w:styleId="BodyTextChar">
    <w:name w:val="Body Text Char"/>
    <w:basedOn w:val="DefaultParagraphFont"/>
    <w:link w:val="BodyText"/>
    <w:uiPriority w:val="1"/>
    <w:rsid w:val="005F07E3"/>
    <w:rPr>
      <w:sz w:val="24"/>
    </w:rPr>
  </w:style>
  <w:style w:type="paragraph" w:styleId="Date">
    <w:name w:val="Date"/>
    <w:basedOn w:val="BodyText"/>
    <w:next w:val="BodyText"/>
    <w:link w:val="DateChar"/>
    <w:uiPriority w:val="9"/>
    <w:semiHidden/>
    <w:rsid w:val="00E05D25"/>
    <w:pPr>
      <w:spacing w:after="120"/>
      <w:jc w:val="right"/>
    </w:pPr>
    <w:rPr>
      <w:color w:val="FFFFFF" w:themeColor="background1"/>
    </w:rPr>
  </w:style>
  <w:style w:type="character" w:customStyle="1" w:styleId="DateChar">
    <w:name w:val="Date Char"/>
    <w:basedOn w:val="DefaultParagraphFont"/>
    <w:link w:val="Date"/>
    <w:uiPriority w:val="9"/>
    <w:semiHidden/>
    <w:rsid w:val="00E05D25"/>
    <w:rPr>
      <w:color w:val="FFFFFF" w:themeColor="background1"/>
      <w:sz w:val="24"/>
    </w:rPr>
  </w:style>
  <w:style w:type="paragraph" w:styleId="Title">
    <w:name w:val="Title"/>
    <w:next w:val="Subtitle"/>
    <w:link w:val="TitleChar"/>
    <w:uiPriority w:val="9"/>
    <w:semiHidden/>
    <w:rsid w:val="00E05D25"/>
    <w:pPr>
      <w:spacing w:after="540" w:line="240" w:lineRule="auto"/>
    </w:pPr>
    <w:rPr>
      <w:b/>
      <w:color w:val="FFFFFF" w:themeColor="background1"/>
      <w:sz w:val="68"/>
      <w:szCs w:val="68"/>
    </w:rPr>
  </w:style>
  <w:style w:type="character" w:customStyle="1" w:styleId="TitleChar">
    <w:name w:val="Title Char"/>
    <w:basedOn w:val="DefaultParagraphFont"/>
    <w:link w:val="Title"/>
    <w:uiPriority w:val="9"/>
    <w:semiHidden/>
    <w:rsid w:val="00E05D25"/>
    <w:rPr>
      <w:b/>
      <w:color w:val="FFFFFF" w:themeColor="background1"/>
      <w:sz w:val="68"/>
      <w:szCs w:val="68"/>
    </w:rPr>
  </w:style>
  <w:style w:type="paragraph" w:styleId="FootnoteText">
    <w:name w:val="footnote text"/>
    <w:basedOn w:val="BodyText"/>
    <w:link w:val="FootnoteTextChar"/>
    <w:uiPriority w:val="2"/>
    <w:qFormat/>
    <w:rsid w:val="008E15A2"/>
    <w:pPr>
      <w:spacing w:after="40"/>
      <w:ind w:left="227" w:hanging="227"/>
    </w:pPr>
    <w:rPr>
      <w:sz w:val="20"/>
      <w:szCs w:val="20"/>
    </w:rPr>
  </w:style>
  <w:style w:type="paragraph" w:styleId="Subtitle">
    <w:name w:val="Subtitle"/>
    <w:next w:val="BodyText"/>
    <w:link w:val="SubtitleChar"/>
    <w:uiPriority w:val="9"/>
    <w:semiHidden/>
    <w:rsid w:val="00E05D25"/>
    <w:pPr>
      <w:spacing w:after="240" w:line="240" w:lineRule="auto"/>
    </w:pPr>
    <w:rPr>
      <w:color w:val="FFFFFF" w:themeColor="background1"/>
      <w:sz w:val="40"/>
      <w:szCs w:val="40"/>
    </w:rPr>
  </w:style>
  <w:style w:type="character" w:customStyle="1" w:styleId="SubtitleChar">
    <w:name w:val="Subtitle Char"/>
    <w:basedOn w:val="DefaultParagraphFont"/>
    <w:link w:val="Subtitle"/>
    <w:uiPriority w:val="9"/>
    <w:semiHidden/>
    <w:rsid w:val="00E05D25"/>
    <w:rPr>
      <w:color w:val="FFFFFF" w:themeColor="background1"/>
      <w:sz w:val="40"/>
      <w:szCs w:val="40"/>
    </w:rPr>
  </w:style>
  <w:style w:type="character" w:customStyle="1" w:styleId="FootnoteTextChar">
    <w:name w:val="Footnote Text Char"/>
    <w:basedOn w:val="DefaultParagraphFont"/>
    <w:link w:val="FootnoteText"/>
    <w:uiPriority w:val="2"/>
    <w:rsid w:val="008E15A2"/>
    <w:rPr>
      <w:sz w:val="20"/>
      <w:szCs w:val="20"/>
    </w:rPr>
  </w:style>
  <w:style w:type="character" w:styleId="FootnoteReference">
    <w:name w:val="footnote reference"/>
    <w:uiPriority w:val="9"/>
    <w:semiHidden/>
    <w:rsid w:val="00D06143"/>
    <w:rPr>
      <w:vertAlign w:val="superscript"/>
    </w:rPr>
  </w:style>
  <w:style w:type="character" w:customStyle="1" w:styleId="Heading1Char">
    <w:name w:val="Heading 1 Char"/>
    <w:basedOn w:val="DefaultParagraphFont"/>
    <w:link w:val="Heading1"/>
    <w:rsid w:val="008E15A2"/>
    <w:rPr>
      <w:b/>
      <w:color w:val="024259" w:themeColor="accent1"/>
      <w:sz w:val="48"/>
      <w:szCs w:val="48"/>
    </w:rPr>
  </w:style>
  <w:style w:type="character" w:customStyle="1" w:styleId="Heading2Char">
    <w:name w:val="Heading 2 Char"/>
    <w:basedOn w:val="DefaultParagraphFont"/>
    <w:link w:val="Heading2"/>
    <w:rsid w:val="008E15A2"/>
    <w:rPr>
      <w:b/>
      <w:color w:val="024259" w:themeColor="accent1"/>
      <w:sz w:val="32"/>
      <w:szCs w:val="32"/>
    </w:rPr>
  </w:style>
  <w:style w:type="character" w:customStyle="1" w:styleId="Heading3Char">
    <w:name w:val="Heading 3 Char"/>
    <w:basedOn w:val="DefaultParagraphFont"/>
    <w:link w:val="Heading3"/>
    <w:rsid w:val="008E15A2"/>
    <w:rPr>
      <w:b/>
      <w:sz w:val="24"/>
    </w:rPr>
  </w:style>
  <w:style w:type="character" w:customStyle="1" w:styleId="Heading4Char">
    <w:name w:val="Heading 4 Char"/>
    <w:basedOn w:val="DefaultParagraphFont"/>
    <w:link w:val="Heading4"/>
    <w:rsid w:val="008E15A2"/>
    <w:rPr>
      <w:i/>
      <w:sz w:val="24"/>
    </w:rPr>
  </w:style>
  <w:style w:type="paragraph" w:styleId="BodyTextIndent">
    <w:name w:val="Body Text Indent"/>
    <w:basedOn w:val="BodyText"/>
    <w:link w:val="BodyTextIndentChar"/>
    <w:uiPriority w:val="1"/>
    <w:qFormat/>
    <w:rsid w:val="008E15A2"/>
    <w:pPr>
      <w:ind w:left="357"/>
    </w:pPr>
  </w:style>
  <w:style w:type="character" w:customStyle="1" w:styleId="BodyTextIndentChar">
    <w:name w:val="Body Text Indent Char"/>
    <w:basedOn w:val="DefaultParagraphFont"/>
    <w:link w:val="BodyTextIndent"/>
    <w:uiPriority w:val="1"/>
    <w:rsid w:val="008E15A2"/>
    <w:rPr>
      <w:sz w:val="24"/>
    </w:rPr>
  </w:style>
  <w:style w:type="paragraph" w:styleId="ListBullet">
    <w:name w:val="List Bullet"/>
    <w:basedOn w:val="BodyText"/>
    <w:uiPriority w:val="1"/>
    <w:qFormat/>
    <w:rsid w:val="008E15A2"/>
    <w:pPr>
      <w:numPr>
        <w:numId w:val="1"/>
      </w:numPr>
      <w:ind w:left="357" w:hanging="357"/>
    </w:pPr>
  </w:style>
  <w:style w:type="paragraph" w:styleId="ListBullet2">
    <w:name w:val="List Bullet 2"/>
    <w:basedOn w:val="ListBullet"/>
    <w:uiPriority w:val="1"/>
    <w:qFormat/>
    <w:rsid w:val="008E15A2"/>
    <w:pPr>
      <w:numPr>
        <w:numId w:val="2"/>
      </w:numPr>
    </w:pPr>
  </w:style>
  <w:style w:type="paragraph" w:styleId="ListNumber">
    <w:name w:val="List Number"/>
    <w:basedOn w:val="BodyText"/>
    <w:uiPriority w:val="1"/>
    <w:qFormat/>
    <w:rsid w:val="008E15A2"/>
    <w:pPr>
      <w:numPr>
        <w:numId w:val="3"/>
      </w:numPr>
      <w:ind w:left="357" w:hanging="357"/>
    </w:pPr>
  </w:style>
  <w:style w:type="paragraph" w:styleId="EndnoteText">
    <w:name w:val="endnote text"/>
    <w:basedOn w:val="FootnoteText"/>
    <w:link w:val="EndnoteTextChar"/>
    <w:uiPriority w:val="2"/>
    <w:rsid w:val="008E15A2"/>
  </w:style>
  <w:style w:type="character" w:customStyle="1" w:styleId="EndnoteTextChar">
    <w:name w:val="Endnote Text Char"/>
    <w:basedOn w:val="DefaultParagraphFont"/>
    <w:link w:val="EndnoteText"/>
    <w:uiPriority w:val="2"/>
    <w:rsid w:val="008E15A2"/>
    <w:rPr>
      <w:sz w:val="20"/>
      <w:szCs w:val="20"/>
    </w:rPr>
  </w:style>
  <w:style w:type="character" w:styleId="EndnoteReference">
    <w:name w:val="endnote reference"/>
    <w:uiPriority w:val="9"/>
    <w:semiHidden/>
    <w:rsid w:val="008E15A2"/>
    <w:rPr>
      <w:vertAlign w:val="superscript"/>
    </w:rPr>
  </w:style>
  <w:style w:type="paragraph" w:styleId="Footer">
    <w:name w:val="footer"/>
    <w:basedOn w:val="BodyText"/>
    <w:link w:val="FooterChar"/>
    <w:uiPriority w:val="9"/>
    <w:semiHidden/>
    <w:rsid w:val="008E15A2"/>
    <w:pPr>
      <w:spacing w:after="0"/>
    </w:pPr>
    <w:rPr>
      <w:sz w:val="22"/>
    </w:rPr>
  </w:style>
  <w:style w:type="character" w:customStyle="1" w:styleId="FooterChar">
    <w:name w:val="Footer Char"/>
    <w:basedOn w:val="DefaultParagraphFont"/>
    <w:link w:val="Footer"/>
    <w:uiPriority w:val="9"/>
    <w:semiHidden/>
    <w:rsid w:val="00D25BC6"/>
  </w:style>
  <w:style w:type="paragraph" w:styleId="Header">
    <w:name w:val="header"/>
    <w:link w:val="HeaderChar"/>
    <w:uiPriority w:val="9"/>
    <w:semiHidden/>
    <w:rsid w:val="006D23AF"/>
    <w:pPr>
      <w:spacing w:after="0" w:line="240" w:lineRule="auto"/>
    </w:pPr>
  </w:style>
  <w:style w:type="character" w:customStyle="1" w:styleId="HeaderChar">
    <w:name w:val="Header Char"/>
    <w:basedOn w:val="DefaultParagraphFont"/>
    <w:link w:val="Header"/>
    <w:uiPriority w:val="9"/>
    <w:semiHidden/>
    <w:rsid w:val="00D25BC6"/>
  </w:style>
  <w:style w:type="paragraph" w:styleId="TOC1">
    <w:name w:val="toc 1"/>
    <w:basedOn w:val="BodyText"/>
    <w:next w:val="BodyText"/>
    <w:uiPriority w:val="39"/>
    <w:rsid w:val="006D23AF"/>
    <w:pPr>
      <w:keepNext/>
      <w:keepLines/>
      <w:spacing w:before="240" w:after="120"/>
    </w:pPr>
    <w:rPr>
      <w:b/>
    </w:rPr>
  </w:style>
  <w:style w:type="paragraph" w:styleId="TOC2">
    <w:name w:val="toc 2"/>
    <w:basedOn w:val="TOC1"/>
    <w:next w:val="BodyText"/>
    <w:uiPriority w:val="39"/>
    <w:rsid w:val="006D23AF"/>
    <w:pPr>
      <w:spacing w:before="0"/>
    </w:pPr>
    <w:rPr>
      <w:b w:val="0"/>
    </w:rPr>
  </w:style>
  <w:style w:type="paragraph" w:styleId="TOCHeading">
    <w:name w:val="TOC Heading"/>
    <w:basedOn w:val="Heading1"/>
    <w:next w:val="BodyText"/>
    <w:uiPriority w:val="9"/>
    <w:semiHidden/>
    <w:rsid w:val="006D23AF"/>
    <w:pPr>
      <w:outlineLvl w:val="9"/>
    </w:pPr>
    <w:rPr>
      <w:rFonts w:asciiTheme="majorHAnsi" w:eastAsiaTheme="majorEastAsia" w:hAnsiTheme="majorHAnsi" w:cstheme="majorBidi"/>
      <w:szCs w:val="32"/>
    </w:rPr>
  </w:style>
  <w:style w:type="paragraph" w:customStyle="1" w:styleId="DividerTitle">
    <w:name w:val="Divider Title"/>
    <w:basedOn w:val="DividerSubtitle"/>
    <w:uiPriority w:val="4"/>
    <w:rsid w:val="00C80213"/>
    <w:pPr>
      <w:spacing w:before="480" w:after="420"/>
    </w:pPr>
    <w:rPr>
      <w:b/>
      <w:sz w:val="68"/>
      <w:szCs w:val="68"/>
    </w:rPr>
  </w:style>
  <w:style w:type="paragraph" w:customStyle="1" w:styleId="DividerSubtitle">
    <w:name w:val="Divider Subtitle"/>
    <w:basedOn w:val="BodyText"/>
    <w:next w:val="BodyText"/>
    <w:uiPriority w:val="5"/>
    <w:rsid w:val="00C80213"/>
    <w:pPr>
      <w:ind w:right="567"/>
    </w:pPr>
    <w:rPr>
      <w:color w:val="024259" w:themeColor="accent1"/>
      <w:sz w:val="48"/>
      <w:szCs w:val="48"/>
    </w:rPr>
  </w:style>
  <w:style w:type="paragraph" w:styleId="BalloonText">
    <w:name w:val="Balloon Text"/>
    <w:basedOn w:val="Normal"/>
    <w:link w:val="BalloonTextChar"/>
    <w:uiPriority w:val="99"/>
    <w:semiHidden/>
    <w:rsid w:val="00035A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A5"/>
    <w:rPr>
      <w:rFonts w:ascii="Segoe UI" w:hAnsi="Segoe UI" w:cs="Segoe UI"/>
      <w:sz w:val="18"/>
      <w:szCs w:val="18"/>
    </w:rPr>
  </w:style>
  <w:style w:type="character" w:styleId="PageNumber">
    <w:name w:val="page number"/>
    <w:uiPriority w:val="9"/>
    <w:semiHidden/>
    <w:rsid w:val="004A0927"/>
    <w:rPr>
      <w:b/>
    </w:rPr>
  </w:style>
  <w:style w:type="table" w:styleId="TableGrid">
    <w:name w:val="Table Grid"/>
    <w:basedOn w:val="TableNormal"/>
    <w:uiPriority w:val="39"/>
    <w:rsid w:val="0003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3556A"/>
    <w:pPr>
      <w:spacing w:after="0" w:line="240" w:lineRule="auto"/>
    </w:pPr>
    <w:tblPr>
      <w:tblStyleRowBandSize w:val="1"/>
      <w:tblStyleColBandSize w:val="1"/>
      <w:tblBorders>
        <w:top w:val="single" w:sz="4" w:space="0" w:color="C8DE9C" w:themeColor="accent3" w:themeTint="99"/>
        <w:left w:val="single" w:sz="4" w:space="0" w:color="C8DE9C" w:themeColor="accent3" w:themeTint="99"/>
        <w:bottom w:val="single" w:sz="4" w:space="0" w:color="C8DE9C" w:themeColor="accent3" w:themeTint="99"/>
        <w:right w:val="single" w:sz="4" w:space="0" w:color="C8DE9C" w:themeColor="accent3" w:themeTint="99"/>
        <w:insideH w:val="single" w:sz="4" w:space="0" w:color="C8DE9C" w:themeColor="accent3" w:themeTint="99"/>
        <w:insideV w:val="single" w:sz="4" w:space="0" w:color="C8DE9C" w:themeColor="accent3" w:themeTint="99"/>
      </w:tblBorders>
    </w:tblPr>
    <w:tblStylePr w:type="firstRow">
      <w:rPr>
        <w:b/>
        <w:bCs/>
        <w:color w:val="FFFFFF" w:themeColor="background1"/>
      </w:rPr>
      <w:tblPr/>
      <w:tcPr>
        <w:tcBorders>
          <w:top w:val="single" w:sz="4" w:space="0" w:color="A4C85B" w:themeColor="accent3"/>
          <w:left w:val="single" w:sz="4" w:space="0" w:color="A4C85B" w:themeColor="accent3"/>
          <w:bottom w:val="single" w:sz="4" w:space="0" w:color="A4C85B" w:themeColor="accent3"/>
          <w:right w:val="single" w:sz="4" w:space="0" w:color="A4C85B" w:themeColor="accent3"/>
          <w:insideH w:val="nil"/>
          <w:insideV w:val="nil"/>
        </w:tcBorders>
        <w:shd w:val="clear" w:color="auto" w:fill="A4C85B" w:themeFill="accent3"/>
      </w:tcPr>
    </w:tblStylePr>
    <w:tblStylePr w:type="lastRow">
      <w:rPr>
        <w:b/>
        <w:bCs/>
      </w:rPr>
      <w:tblPr/>
      <w:tcPr>
        <w:tcBorders>
          <w:top w:val="double" w:sz="4" w:space="0" w:color="A4C85B" w:themeColor="accent3"/>
        </w:tcBorders>
      </w:tcPr>
    </w:tblStylePr>
    <w:tblStylePr w:type="firstCol">
      <w:rPr>
        <w:b/>
        <w:bCs/>
      </w:rPr>
    </w:tblStylePr>
    <w:tblStylePr w:type="lastCol">
      <w:rPr>
        <w:b/>
        <w:bCs/>
      </w:rPr>
    </w:tblStylePr>
    <w:tblStylePr w:type="band1Vert">
      <w:tblPr/>
      <w:tcPr>
        <w:shd w:val="clear" w:color="auto" w:fill="ECF4DE" w:themeFill="accent3" w:themeFillTint="33"/>
      </w:tcPr>
    </w:tblStylePr>
    <w:tblStylePr w:type="band1Horz">
      <w:tblPr/>
      <w:tcPr>
        <w:shd w:val="clear" w:color="auto" w:fill="ECF4DE" w:themeFill="accent3" w:themeFillTint="33"/>
      </w:tcPr>
    </w:tblStylePr>
  </w:style>
  <w:style w:type="table" w:styleId="GridTable4">
    <w:name w:val="Grid Table 4"/>
    <w:basedOn w:val="TableNormal"/>
    <w:uiPriority w:val="49"/>
    <w:rsid w:val="00DF4F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CRA-greenheaderrow">
    <w:name w:val="NCRA - green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4C85B" w:themeFill="accent3"/>
      </w:tcPr>
    </w:tblStylePr>
  </w:style>
  <w:style w:type="paragraph" w:customStyle="1" w:styleId="TableHeader">
    <w:name w:val="Table Header"/>
    <w:basedOn w:val="BodyText"/>
    <w:uiPriority w:val="3"/>
    <w:rsid w:val="00DF4F77"/>
    <w:pPr>
      <w:spacing w:after="0"/>
    </w:pPr>
    <w:rPr>
      <w:b/>
    </w:rPr>
  </w:style>
  <w:style w:type="paragraph" w:customStyle="1" w:styleId="TableText">
    <w:name w:val="Table Text"/>
    <w:basedOn w:val="BodyText"/>
    <w:uiPriority w:val="3"/>
    <w:rsid w:val="00DF4F77"/>
    <w:pPr>
      <w:spacing w:after="0"/>
    </w:pPr>
  </w:style>
  <w:style w:type="table" w:customStyle="1" w:styleId="NCRA-orangeheaderrow">
    <w:name w:val="NCRA - orange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6A019" w:themeFill="accent4"/>
      </w:tcPr>
    </w:tblStylePr>
  </w:style>
  <w:style w:type="table" w:customStyle="1" w:styleId="NCRA-yellowheaderrow">
    <w:name w:val="NCRA - yellow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E335" w:themeFill="accent5"/>
      </w:tcPr>
    </w:tblStylePr>
  </w:style>
  <w:style w:type="table" w:customStyle="1" w:styleId="NCRA-redheaderrow">
    <w:name w:val="NCRA - red header row"/>
    <w:basedOn w:val="TableNormal"/>
    <w:uiPriority w:val="99"/>
    <w:rsid w:val="00C0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252C" w:themeFill="accent6"/>
      </w:tcPr>
    </w:tblStylePr>
  </w:style>
  <w:style w:type="character" w:styleId="Hyperlink">
    <w:name w:val="Hyperlink"/>
    <w:basedOn w:val="DefaultParagraphFont"/>
    <w:uiPriority w:val="99"/>
    <w:unhideWhenUsed/>
    <w:rsid w:val="00C80213"/>
    <w:rPr>
      <w:color w:val="024259" w:themeColor="hyperlink"/>
      <w:u w:val="single"/>
    </w:rPr>
  </w:style>
  <w:style w:type="paragraph" w:customStyle="1" w:styleId="Covertext">
    <w:name w:val="Cover text"/>
    <w:basedOn w:val="BodyText"/>
    <w:uiPriority w:val="8"/>
    <w:semiHidden/>
    <w:qFormat/>
    <w:rsid w:val="00A73863"/>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frica\branding\NCRA%20report%20template%20(colour%201).dotx" TargetMode="External"/></Relationships>
</file>

<file path=word/theme/theme1.xml><?xml version="1.0" encoding="utf-8"?>
<a:theme xmlns:a="http://schemas.openxmlformats.org/drawingml/2006/main" name="Office Theme">
  <a:themeElements>
    <a:clrScheme name="NCRA">
      <a:dk1>
        <a:sysClr val="windowText" lastClr="000000"/>
      </a:dk1>
      <a:lt1>
        <a:sysClr val="window" lastClr="FFFFFF"/>
      </a:lt1>
      <a:dk2>
        <a:srgbClr val="000000"/>
      </a:dk2>
      <a:lt2>
        <a:srgbClr val="FFFFFF"/>
      </a:lt2>
      <a:accent1>
        <a:srgbClr val="024259"/>
      </a:accent1>
      <a:accent2>
        <a:srgbClr val="5F163E"/>
      </a:accent2>
      <a:accent3>
        <a:srgbClr val="A4C85B"/>
      </a:accent3>
      <a:accent4>
        <a:srgbClr val="F6A019"/>
      </a:accent4>
      <a:accent5>
        <a:srgbClr val="F2E335"/>
      </a:accent5>
      <a:accent6>
        <a:srgbClr val="E5252C"/>
      </a:accent6>
      <a:hlink>
        <a:srgbClr val="024259"/>
      </a:hlink>
      <a:folHlink>
        <a:srgbClr val="024259"/>
      </a:folHlink>
    </a:clrScheme>
    <a:fontScheme name="NC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4222-3971-40B8-8232-B43B2DF9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NCRA report template (colour 1)</Template>
  <TotalTime>2</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Manager>NCRA</Manager>
  <Company>NCRA</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user</dc:creator>
  <cp:keywords>[Key words separated by commas]</cp:keywords>
  <dc:description/>
  <cp:lastModifiedBy>user</cp:lastModifiedBy>
  <cp:revision>3</cp:revision>
  <dcterms:created xsi:type="dcterms:W3CDTF">2020-10-28T17:02:00Z</dcterms:created>
  <dcterms:modified xsi:type="dcterms:W3CDTF">2020-10-28T20:57:00Z</dcterms:modified>
</cp:coreProperties>
</file>